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05CC5" w14:textId="499450DC" w:rsidR="008A253E" w:rsidRPr="0090155A" w:rsidRDefault="008A253E" w:rsidP="00E93989">
      <w:pPr>
        <w:spacing w:line="360" w:lineRule="auto"/>
        <w:ind w:right="1559"/>
        <w:jc w:val="both"/>
        <w:rPr>
          <w:rFonts w:ascii="Arial" w:hAnsi="Arial" w:cs="Arial"/>
          <w:b/>
          <w:bCs/>
          <w:sz w:val="24"/>
          <w:szCs w:val="24"/>
        </w:rPr>
      </w:pPr>
      <w:r w:rsidRPr="0090155A">
        <w:rPr>
          <w:rFonts w:ascii="Arial" w:hAnsi="Arial" w:cs="Arial"/>
          <w:b/>
          <w:bCs/>
          <w:sz w:val="24"/>
          <w:szCs w:val="24"/>
        </w:rPr>
        <w:t>How Can Livestock Farming Equipment Achieve Greater Durability? KRAIBURG TPE Breeds Reliable Performance in Livestock Farming Tools with TPE</w:t>
      </w:r>
    </w:p>
    <w:p w14:paraId="6C6EA50F" w14:textId="77777777" w:rsidR="008A253E" w:rsidRDefault="008A253E" w:rsidP="003D6CB8">
      <w:pPr>
        <w:spacing w:line="360" w:lineRule="auto"/>
        <w:ind w:right="1559"/>
        <w:jc w:val="both"/>
        <w:rPr>
          <w:rFonts w:ascii="Arial" w:hAnsi="Arial" w:cs="Arial"/>
          <w:sz w:val="20"/>
          <w:szCs w:val="20"/>
        </w:rPr>
      </w:pPr>
      <w:r w:rsidRPr="0090155A">
        <w:rPr>
          <w:rFonts w:ascii="Arial" w:hAnsi="Arial" w:cs="Arial"/>
          <w:sz w:val="20"/>
          <w:szCs w:val="20"/>
        </w:rPr>
        <w:t>As the livestock farming industry continues to evolve with increasing demands for smarter and more efficient operations, equipment manufacturers and engineers are placing greater emphasis not only on equipment functionality and operational efficiency, but also on material durability, flexibility, processability, and long-term performance. Therefore, selecting the right material for livestock farming equipment has become a key consideration in agricultural equipment development.</w:t>
      </w:r>
    </w:p>
    <w:p w14:paraId="0A805AEF" w14:textId="2D8BEF78" w:rsidR="00F304DC" w:rsidRDefault="00F304DC" w:rsidP="003D6CB8">
      <w:pPr>
        <w:spacing w:line="360" w:lineRule="auto"/>
        <w:ind w:right="1559"/>
        <w:jc w:val="both"/>
        <w:rPr>
          <w:rFonts w:ascii="Arial" w:hAnsi="Arial" w:cs="Arial"/>
          <w:sz w:val="20"/>
          <w:szCs w:val="20"/>
        </w:rPr>
      </w:pPr>
      <w:r w:rsidRPr="00F304DC">
        <w:rPr>
          <w:rFonts w:ascii="Arial" w:hAnsi="Arial" w:cs="Arial"/>
          <w:sz w:val="20"/>
          <w:szCs w:val="20"/>
        </w:rPr>
        <w:t>KRAIBURG TPE, a global manufacturer of thermoplastic elastomers and customized material solutions for diverse industries, offers high-performance thermoplastic elastomers (TPEs) used in a wide range of applications, including agricultural and livestock farming, delivering flexibility, durability and processability.</w:t>
      </w:r>
    </w:p>
    <w:p w14:paraId="3E5D2259" w14:textId="77777777" w:rsidR="00EF5652" w:rsidRPr="00EF5652" w:rsidRDefault="00EF5652" w:rsidP="003D6CB8">
      <w:pPr>
        <w:spacing w:line="360" w:lineRule="auto"/>
        <w:ind w:right="1559"/>
        <w:jc w:val="both"/>
        <w:rPr>
          <w:rFonts w:ascii="Arial" w:hAnsi="Arial" w:cs="Arial"/>
          <w:sz w:val="6"/>
          <w:szCs w:val="6"/>
        </w:rPr>
      </w:pPr>
    </w:p>
    <w:p w14:paraId="422CDCB9" w14:textId="77777777" w:rsidR="008A253E" w:rsidRDefault="008A253E" w:rsidP="00655061">
      <w:pPr>
        <w:spacing w:line="360" w:lineRule="auto"/>
        <w:ind w:right="1559"/>
        <w:jc w:val="both"/>
        <w:rPr>
          <w:rFonts w:ascii="Arial" w:hAnsi="Arial" w:cs="Arial"/>
          <w:b/>
          <w:bCs/>
          <w:sz w:val="20"/>
          <w:szCs w:val="20"/>
        </w:rPr>
      </w:pPr>
      <w:r w:rsidRPr="0090155A">
        <w:rPr>
          <w:rFonts w:ascii="Arial" w:hAnsi="Arial" w:cs="Arial"/>
          <w:b/>
          <w:bCs/>
          <w:sz w:val="20"/>
          <w:szCs w:val="20"/>
        </w:rPr>
        <w:t>Why Are More Livestock Farming Equipment Manufacturers Choosing TPE Materials?</w:t>
      </w:r>
    </w:p>
    <w:p w14:paraId="3B217CEF" w14:textId="54BF18F2" w:rsidR="0044342F" w:rsidRDefault="0044342F" w:rsidP="00655061">
      <w:pPr>
        <w:spacing w:line="360" w:lineRule="auto"/>
        <w:ind w:right="1559"/>
        <w:jc w:val="both"/>
        <w:rPr>
          <w:rFonts w:ascii="Arial" w:hAnsi="Arial" w:cs="Arial"/>
          <w:sz w:val="20"/>
          <w:szCs w:val="20"/>
        </w:rPr>
      </w:pPr>
      <w:hyperlink r:id="rId11" w:history="1">
        <w:r w:rsidRPr="00160D05">
          <w:rPr>
            <w:rStyle w:val="Hyperlink"/>
            <w:rFonts w:ascii="Arial" w:hAnsi="Arial" w:cs="Arial"/>
            <w:sz w:val="20"/>
            <w:szCs w:val="20"/>
          </w:rPr>
          <w:t>KRAIBURG TPE’s material compounds</w:t>
        </w:r>
      </w:hyperlink>
      <w:r w:rsidRPr="0044342F">
        <w:rPr>
          <w:rFonts w:ascii="Arial" w:hAnsi="Arial" w:cs="Arial"/>
          <w:sz w:val="20"/>
          <w:szCs w:val="20"/>
        </w:rPr>
        <w:t xml:space="preserve"> exhibit excellent adhesion to polypropylene (PP), enabling efficient </w:t>
      </w:r>
      <w:proofErr w:type="spellStart"/>
      <w:r w:rsidRPr="0044342F">
        <w:rPr>
          <w:rFonts w:ascii="Arial" w:hAnsi="Arial" w:cs="Arial"/>
          <w:sz w:val="20"/>
          <w:szCs w:val="20"/>
        </w:rPr>
        <w:t>overmolding</w:t>
      </w:r>
      <w:proofErr w:type="spellEnd"/>
      <w:r w:rsidRPr="0044342F">
        <w:rPr>
          <w:rFonts w:ascii="Arial" w:hAnsi="Arial" w:cs="Arial"/>
          <w:sz w:val="20"/>
          <w:szCs w:val="20"/>
        </w:rPr>
        <w:t xml:space="preserve"> that combines rigid and soft components. This results in stronger bonding between parts of livestock farming equipment for fail-safe performance even with constant use.</w:t>
      </w:r>
    </w:p>
    <w:p w14:paraId="6F2F9D4C" w14:textId="77777777" w:rsidR="00EF5652" w:rsidRPr="00EF5652" w:rsidRDefault="00EF5652" w:rsidP="00655061">
      <w:pPr>
        <w:spacing w:line="360" w:lineRule="auto"/>
        <w:ind w:right="1559"/>
        <w:jc w:val="both"/>
        <w:rPr>
          <w:rFonts w:ascii="Arial" w:hAnsi="Arial" w:cs="Arial"/>
          <w:sz w:val="6"/>
          <w:szCs w:val="6"/>
        </w:rPr>
      </w:pPr>
    </w:p>
    <w:p w14:paraId="7D4B57C1" w14:textId="2B51ECE2" w:rsidR="00655061" w:rsidRDefault="00655061" w:rsidP="00655061">
      <w:pPr>
        <w:spacing w:line="360" w:lineRule="auto"/>
        <w:ind w:right="1559"/>
        <w:jc w:val="both"/>
        <w:rPr>
          <w:rFonts w:ascii="Arial" w:hAnsi="Arial" w:cs="Arial"/>
          <w:b/>
          <w:bCs/>
          <w:sz w:val="20"/>
          <w:szCs w:val="20"/>
        </w:rPr>
      </w:pPr>
      <w:r w:rsidRPr="00E93989">
        <w:rPr>
          <w:rFonts w:ascii="Arial" w:hAnsi="Arial" w:cs="Arial"/>
          <w:b/>
          <w:bCs/>
          <w:sz w:val="20"/>
          <w:szCs w:val="20"/>
        </w:rPr>
        <w:t xml:space="preserve">Efficient </w:t>
      </w:r>
      <w:r w:rsidR="00B52FDF">
        <w:rPr>
          <w:rFonts w:ascii="Arial" w:hAnsi="Arial" w:cs="Arial"/>
          <w:b/>
          <w:bCs/>
          <w:sz w:val="20"/>
          <w:szCs w:val="20"/>
        </w:rPr>
        <w:t>p</w:t>
      </w:r>
      <w:r w:rsidRPr="00E93989">
        <w:rPr>
          <w:rFonts w:ascii="Arial" w:hAnsi="Arial" w:cs="Arial"/>
          <w:b/>
          <w:bCs/>
          <w:sz w:val="20"/>
          <w:szCs w:val="20"/>
        </w:rPr>
        <w:t xml:space="preserve">rocessing and </w:t>
      </w:r>
      <w:r w:rsidR="00F85FEB">
        <w:rPr>
          <w:rFonts w:ascii="Arial" w:hAnsi="Arial" w:cs="Arial"/>
          <w:b/>
          <w:bCs/>
          <w:sz w:val="20"/>
          <w:szCs w:val="20"/>
        </w:rPr>
        <w:t xml:space="preserve">zero-waste </w:t>
      </w:r>
      <w:r w:rsidR="00B52FDF">
        <w:rPr>
          <w:rFonts w:ascii="Arial" w:hAnsi="Arial" w:cs="Arial"/>
          <w:b/>
          <w:bCs/>
          <w:sz w:val="20"/>
          <w:szCs w:val="20"/>
        </w:rPr>
        <w:t>m</w:t>
      </w:r>
      <w:r w:rsidRPr="00E93989">
        <w:rPr>
          <w:rFonts w:ascii="Arial" w:hAnsi="Arial" w:cs="Arial"/>
          <w:b/>
          <w:bCs/>
          <w:sz w:val="20"/>
          <w:szCs w:val="20"/>
        </w:rPr>
        <w:t>anufacturing</w:t>
      </w:r>
    </w:p>
    <w:p w14:paraId="4275AEBE" w14:textId="3A98B720" w:rsidR="008A253E" w:rsidRPr="008A253E" w:rsidRDefault="008A253E" w:rsidP="00655061">
      <w:pPr>
        <w:spacing w:line="360" w:lineRule="auto"/>
        <w:ind w:right="1559"/>
        <w:jc w:val="both"/>
        <w:rPr>
          <w:rFonts w:ascii="Arial" w:hAnsi="Arial" w:cs="Arial"/>
          <w:sz w:val="20"/>
          <w:szCs w:val="20"/>
        </w:rPr>
      </w:pPr>
      <w:r w:rsidRPr="0090155A">
        <w:rPr>
          <w:rFonts w:ascii="Arial" w:hAnsi="Arial" w:cs="Arial"/>
          <w:sz w:val="20"/>
          <w:szCs w:val="20"/>
        </w:rPr>
        <w:t>For livestock farming equipment, material selection is driven not only by production efficiency but also by sustainability considerations.</w:t>
      </w:r>
    </w:p>
    <w:p w14:paraId="6F551892" w14:textId="66B9C94B" w:rsidR="00655061" w:rsidRDefault="00F85FEB" w:rsidP="003D6CB8">
      <w:pPr>
        <w:spacing w:line="360" w:lineRule="auto"/>
        <w:ind w:right="1559"/>
        <w:jc w:val="both"/>
        <w:rPr>
          <w:rFonts w:ascii="Arial" w:hAnsi="Arial" w:cs="Arial"/>
          <w:sz w:val="20"/>
          <w:szCs w:val="20"/>
          <w:lang w:eastAsia="zh-CN"/>
        </w:rPr>
      </w:pPr>
      <w:r w:rsidRPr="00F85FEB">
        <w:rPr>
          <w:rFonts w:ascii="Arial" w:hAnsi="Arial" w:cs="Arial"/>
          <w:sz w:val="20"/>
          <w:szCs w:val="20"/>
          <w:lang w:eastAsia="zh-CN"/>
        </w:rPr>
        <w:lastRenderedPageBreak/>
        <w:t xml:space="preserve">KRAIBURG TPE’s material compounds are free-flowing granules that enable superior processability, with the ability to be processed using standard </w:t>
      </w:r>
      <w:hyperlink r:id="rId12" w:history="1">
        <w:r w:rsidRPr="00160D05">
          <w:rPr>
            <w:rStyle w:val="Hyperlink"/>
            <w:rFonts w:ascii="Arial" w:hAnsi="Arial" w:cs="Arial"/>
            <w:sz w:val="20"/>
            <w:szCs w:val="20"/>
            <w:lang w:eastAsia="zh-CN"/>
          </w:rPr>
          <w:t xml:space="preserve">injection </w:t>
        </w:r>
        <w:r w:rsidR="00626587" w:rsidRPr="00160D05">
          <w:rPr>
            <w:rStyle w:val="Hyperlink"/>
            <w:rFonts w:ascii="Arial" w:hAnsi="Arial" w:cs="Arial"/>
            <w:sz w:val="20"/>
            <w:szCs w:val="20"/>
            <w:lang w:eastAsia="zh-CN"/>
          </w:rPr>
          <w:t>molding</w:t>
        </w:r>
      </w:hyperlink>
      <w:r w:rsidRPr="00F85FEB">
        <w:rPr>
          <w:rFonts w:ascii="Arial" w:hAnsi="Arial" w:cs="Arial"/>
          <w:sz w:val="20"/>
          <w:szCs w:val="20"/>
          <w:lang w:eastAsia="zh-CN"/>
        </w:rPr>
        <w:t xml:space="preserve"> for thermoplastics. Likewise, </w:t>
      </w:r>
      <w:r w:rsidR="00EF5652" w:rsidRPr="00F85FEB">
        <w:rPr>
          <w:rFonts w:ascii="Arial" w:hAnsi="Arial" w:cs="Arial"/>
          <w:sz w:val="20"/>
          <w:szCs w:val="20"/>
          <w:lang w:eastAsia="zh-CN"/>
        </w:rPr>
        <w:t>innovative</w:t>
      </w:r>
      <w:r w:rsidRPr="00F85FEB">
        <w:rPr>
          <w:rFonts w:ascii="Arial" w:hAnsi="Arial" w:cs="Arial"/>
          <w:sz w:val="20"/>
          <w:szCs w:val="20"/>
          <w:lang w:eastAsia="zh-CN"/>
        </w:rPr>
        <w:t xml:space="preserve"> materials support in-process recycling, allowing manufacturers to reduce material waste and improve production efficiency.</w:t>
      </w:r>
    </w:p>
    <w:p w14:paraId="19AEDD65" w14:textId="77777777" w:rsidR="009D7143" w:rsidRPr="008A253E" w:rsidRDefault="009D7143" w:rsidP="00E93989">
      <w:pPr>
        <w:spacing w:line="360" w:lineRule="auto"/>
        <w:ind w:right="1559"/>
        <w:jc w:val="both"/>
        <w:rPr>
          <w:rFonts w:ascii="Arial" w:hAnsi="Arial" w:cs="Arial"/>
          <w:sz w:val="6"/>
          <w:szCs w:val="6"/>
        </w:rPr>
      </w:pPr>
    </w:p>
    <w:p w14:paraId="4C4158B2" w14:textId="2A01949C" w:rsidR="00E93989" w:rsidRDefault="00E93989" w:rsidP="00E93989">
      <w:pPr>
        <w:spacing w:line="360" w:lineRule="auto"/>
        <w:ind w:right="1559"/>
        <w:jc w:val="both"/>
        <w:rPr>
          <w:rFonts w:ascii="Arial" w:hAnsi="Arial" w:cs="Arial"/>
          <w:b/>
          <w:bCs/>
          <w:sz w:val="20"/>
          <w:szCs w:val="20"/>
        </w:rPr>
      </w:pPr>
      <w:r w:rsidRPr="00E93989">
        <w:rPr>
          <w:rFonts w:ascii="Arial" w:hAnsi="Arial" w:cs="Arial"/>
          <w:b/>
          <w:bCs/>
          <w:sz w:val="20"/>
          <w:szCs w:val="20"/>
        </w:rPr>
        <w:t xml:space="preserve">Compliance with </w:t>
      </w:r>
      <w:r w:rsidR="00AA6BA3">
        <w:rPr>
          <w:rFonts w:ascii="Arial" w:hAnsi="Arial" w:cs="Arial"/>
          <w:b/>
          <w:bCs/>
          <w:sz w:val="20"/>
          <w:szCs w:val="20"/>
        </w:rPr>
        <w:t>g</w:t>
      </w:r>
      <w:r w:rsidRPr="00E93989">
        <w:rPr>
          <w:rFonts w:ascii="Arial" w:hAnsi="Arial" w:cs="Arial"/>
          <w:b/>
          <w:bCs/>
          <w:sz w:val="20"/>
          <w:szCs w:val="20"/>
        </w:rPr>
        <w:t xml:space="preserve">lobal </w:t>
      </w:r>
      <w:r w:rsidR="00AA6BA3">
        <w:rPr>
          <w:rFonts w:ascii="Arial" w:hAnsi="Arial" w:cs="Arial"/>
          <w:b/>
          <w:bCs/>
          <w:sz w:val="20"/>
          <w:szCs w:val="20"/>
        </w:rPr>
        <w:t>s</w:t>
      </w:r>
      <w:r w:rsidRPr="00E93989">
        <w:rPr>
          <w:rFonts w:ascii="Arial" w:hAnsi="Arial" w:cs="Arial"/>
          <w:b/>
          <w:bCs/>
          <w:sz w:val="20"/>
          <w:szCs w:val="20"/>
        </w:rPr>
        <w:t xml:space="preserve">afety </w:t>
      </w:r>
      <w:r w:rsidR="00AA6BA3">
        <w:rPr>
          <w:rFonts w:ascii="Arial" w:hAnsi="Arial" w:cs="Arial"/>
          <w:b/>
          <w:bCs/>
          <w:sz w:val="20"/>
          <w:szCs w:val="20"/>
        </w:rPr>
        <w:t>s</w:t>
      </w:r>
      <w:r w:rsidRPr="00E93989">
        <w:rPr>
          <w:rFonts w:ascii="Arial" w:hAnsi="Arial" w:cs="Arial"/>
          <w:b/>
          <w:bCs/>
          <w:sz w:val="20"/>
          <w:szCs w:val="20"/>
        </w:rPr>
        <w:t>tandards</w:t>
      </w:r>
    </w:p>
    <w:p w14:paraId="0B9D2FB2" w14:textId="652CC3B1" w:rsidR="008A253E" w:rsidRPr="008A253E" w:rsidRDefault="008A253E" w:rsidP="00E93989">
      <w:pPr>
        <w:spacing w:line="360" w:lineRule="auto"/>
        <w:ind w:right="1559"/>
        <w:jc w:val="both"/>
        <w:rPr>
          <w:rFonts w:ascii="Arial" w:hAnsi="Arial" w:cs="Arial"/>
          <w:sz w:val="20"/>
          <w:szCs w:val="20"/>
        </w:rPr>
      </w:pPr>
      <w:r w:rsidRPr="0090155A">
        <w:rPr>
          <w:rFonts w:ascii="Arial" w:hAnsi="Arial" w:cs="Arial"/>
          <w:sz w:val="20"/>
          <w:szCs w:val="20"/>
        </w:rPr>
        <w:t>Beyond performance, livestock farming equipment also demands higher standards for material safety and regulatory compliance.</w:t>
      </w:r>
    </w:p>
    <w:p w14:paraId="01F47B6F" w14:textId="5ACA4CFA" w:rsidR="00E93989" w:rsidRPr="00E93989" w:rsidRDefault="00AA6BA3" w:rsidP="00E93989">
      <w:pPr>
        <w:spacing w:line="360" w:lineRule="auto"/>
        <w:ind w:right="1559"/>
        <w:jc w:val="both"/>
        <w:rPr>
          <w:rFonts w:ascii="Arial" w:hAnsi="Arial" w:cs="Arial"/>
          <w:sz w:val="20"/>
          <w:szCs w:val="20"/>
          <w:lang w:eastAsia="zh-CN"/>
        </w:rPr>
      </w:pPr>
      <w:r>
        <w:rPr>
          <w:rFonts w:ascii="Arial" w:hAnsi="Arial" w:cs="Arial"/>
          <w:sz w:val="20"/>
          <w:szCs w:val="20"/>
          <w:lang w:eastAsia="zh-CN"/>
        </w:rPr>
        <w:t xml:space="preserve">KRAIBURG TPE’s material compounds </w:t>
      </w:r>
      <w:r w:rsidR="00E93989" w:rsidRPr="00E93989">
        <w:rPr>
          <w:rFonts w:ascii="Arial" w:hAnsi="Arial" w:cs="Arial"/>
          <w:sz w:val="20"/>
          <w:szCs w:val="20"/>
        </w:rPr>
        <w:t>meet key regulatory requirements, including Regulation (EU) No 10/2011, US FDA CFR 21 (raw material conformity), and EN 71-3, ensuring material safety and compliance.</w:t>
      </w:r>
    </w:p>
    <w:p w14:paraId="1B3011D7" w14:textId="77777777" w:rsidR="00E93989" w:rsidRPr="00E93989" w:rsidRDefault="00E93989" w:rsidP="00E93989">
      <w:pPr>
        <w:spacing w:line="360" w:lineRule="auto"/>
        <w:ind w:right="1559"/>
        <w:jc w:val="both"/>
        <w:rPr>
          <w:rFonts w:ascii="Arial" w:hAnsi="Arial" w:cs="Arial"/>
          <w:b/>
          <w:bCs/>
          <w:sz w:val="6"/>
          <w:szCs w:val="6"/>
        </w:rPr>
      </w:pPr>
    </w:p>
    <w:p w14:paraId="2BE2BAD0" w14:textId="3A42E1B2" w:rsidR="00E93989" w:rsidRPr="00E93989" w:rsidRDefault="00F85FEB" w:rsidP="00E93989">
      <w:pPr>
        <w:spacing w:line="360" w:lineRule="auto"/>
        <w:ind w:right="1559"/>
        <w:jc w:val="both"/>
        <w:rPr>
          <w:rFonts w:ascii="Arial" w:hAnsi="Arial" w:cs="Arial"/>
          <w:b/>
          <w:bCs/>
          <w:sz w:val="20"/>
          <w:szCs w:val="20"/>
        </w:rPr>
      </w:pPr>
      <w:r>
        <w:rPr>
          <w:rFonts w:ascii="Arial" w:hAnsi="Arial" w:cs="Arial"/>
          <w:b/>
          <w:bCs/>
          <w:sz w:val="20"/>
          <w:szCs w:val="20"/>
        </w:rPr>
        <w:t xml:space="preserve">Recyclability </w:t>
      </w:r>
      <w:r w:rsidR="006C0DE7">
        <w:rPr>
          <w:rFonts w:ascii="Arial" w:hAnsi="Arial" w:cs="Arial"/>
          <w:b/>
          <w:bCs/>
          <w:sz w:val="20"/>
          <w:szCs w:val="20"/>
        </w:rPr>
        <w:t>of materials</w:t>
      </w:r>
      <w:r>
        <w:rPr>
          <w:rFonts w:ascii="Arial" w:hAnsi="Arial" w:cs="Arial"/>
          <w:b/>
          <w:bCs/>
          <w:sz w:val="20"/>
          <w:szCs w:val="20"/>
        </w:rPr>
        <w:t xml:space="preserve"> for c</w:t>
      </w:r>
      <w:r w:rsidR="00E93989" w:rsidRPr="00E93989">
        <w:rPr>
          <w:rFonts w:ascii="Arial" w:hAnsi="Arial" w:cs="Arial"/>
          <w:b/>
          <w:bCs/>
          <w:sz w:val="20"/>
          <w:szCs w:val="20"/>
        </w:rPr>
        <w:t>ircularity</w:t>
      </w:r>
    </w:p>
    <w:p w14:paraId="1C5A13B4" w14:textId="70ACE0A3" w:rsidR="00E93989" w:rsidRPr="00E93989" w:rsidRDefault="00F85FEB" w:rsidP="00E93989">
      <w:pPr>
        <w:spacing w:line="360" w:lineRule="auto"/>
        <w:ind w:right="1559"/>
        <w:jc w:val="both"/>
        <w:rPr>
          <w:rFonts w:ascii="Arial" w:hAnsi="Arial" w:cs="Arial"/>
          <w:b/>
          <w:bCs/>
          <w:sz w:val="6"/>
          <w:szCs w:val="6"/>
        </w:rPr>
      </w:pPr>
      <w:r w:rsidRPr="00F85FEB">
        <w:rPr>
          <w:rFonts w:ascii="Arial" w:hAnsi="Arial" w:cs="Arial"/>
          <w:sz w:val="20"/>
          <w:szCs w:val="20"/>
          <w:lang w:eastAsia="zh-CN"/>
        </w:rPr>
        <w:t>KRAIBURG TPE</w:t>
      </w:r>
      <w:r w:rsidR="00C913F8">
        <w:rPr>
          <w:rFonts w:ascii="Arial" w:hAnsi="Arial" w:cs="Arial"/>
          <w:sz w:val="20"/>
          <w:szCs w:val="20"/>
          <w:lang w:eastAsia="zh-CN"/>
        </w:rPr>
        <w:t>’s</w:t>
      </w:r>
      <w:r w:rsidRPr="00F85FEB">
        <w:rPr>
          <w:rFonts w:ascii="Arial" w:hAnsi="Arial" w:cs="Arial"/>
          <w:sz w:val="20"/>
          <w:szCs w:val="20"/>
          <w:lang w:eastAsia="zh-CN"/>
        </w:rPr>
        <w:t xml:space="preserve"> material compounds are compatible with both HDPE and PP recycling streams, as certified by </w:t>
      </w:r>
      <w:proofErr w:type="spellStart"/>
      <w:r w:rsidRPr="00F85FEB">
        <w:rPr>
          <w:rFonts w:ascii="Arial" w:hAnsi="Arial" w:cs="Arial"/>
          <w:sz w:val="20"/>
          <w:szCs w:val="20"/>
          <w:lang w:eastAsia="zh-CN"/>
        </w:rPr>
        <w:t>Cyclos</w:t>
      </w:r>
      <w:proofErr w:type="spellEnd"/>
      <w:r w:rsidRPr="00F85FEB">
        <w:rPr>
          <w:rFonts w:ascii="Arial" w:hAnsi="Arial" w:cs="Arial"/>
          <w:sz w:val="20"/>
          <w:szCs w:val="20"/>
          <w:lang w:eastAsia="zh-CN"/>
        </w:rPr>
        <w:t xml:space="preserve"> HTP, resulting in effective recycling and supporting circular material use. In addition, they are ISCC PLUS ready (mass balance approach), contributing to more sustainable and responsible material sourcing.</w:t>
      </w:r>
    </w:p>
    <w:p w14:paraId="38D9F58B" w14:textId="77777777" w:rsidR="00E93989" w:rsidRPr="00E93989" w:rsidRDefault="00E93989" w:rsidP="00E93989">
      <w:pPr>
        <w:spacing w:line="360" w:lineRule="auto"/>
        <w:ind w:right="1559"/>
        <w:jc w:val="both"/>
        <w:rPr>
          <w:rFonts w:ascii="Arial" w:hAnsi="Arial" w:cs="Arial"/>
          <w:b/>
          <w:bCs/>
          <w:sz w:val="6"/>
          <w:szCs w:val="6"/>
        </w:rPr>
      </w:pPr>
    </w:p>
    <w:p w14:paraId="4D23D3D0" w14:textId="5C61F83E" w:rsidR="00E93989" w:rsidRPr="00E93989" w:rsidRDefault="006C0DE7" w:rsidP="00E93989">
      <w:pPr>
        <w:spacing w:line="360" w:lineRule="auto"/>
        <w:ind w:right="1559"/>
        <w:jc w:val="both"/>
        <w:rPr>
          <w:rFonts w:ascii="Arial" w:hAnsi="Arial" w:cs="Arial"/>
          <w:b/>
          <w:bCs/>
          <w:sz w:val="20"/>
          <w:szCs w:val="20"/>
        </w:rPr>
      </w:pPr>
      <w:proofErr w:type="spellStart"/>
      <w:r>
        <w:rPr>
          <w:rFonts w:ascii="Arial" w:hAnsi="Arial" w:cs="Arial"/>
          <w:b/>
          <w:bCs/>
          <w:sz w:val="20"/>
          <w:szCs w:val="20"/>
        </w:rPr>
        <w:t>Colorability</w:t>
      </w:r>
      <w:proofErr w:type="spellEnd"/>
      <w:r>
        <w:rPr>
          <w:rFonts w:ascii="Arial" w:hAnsi="Arial" w:cs="Arial"/>
          <w:b/>
          <w:bCs/>
          <w:sz w:val="20"/>
          <w:szCs w:val="20"/>
        </w:rPr>
        <w:t xml:space="preserve"> for functionality and d</w:t>
      </w:r>
      <w:r w:rsidR="00E93989" w:rsidRPr="00E93989">
        <w:rPr>
          <w:rFonts w:ascii="Arial" w:hAnsi="Arial" w:cs="Arial"/>
          <w:b/>
          <w:bCs/>
          <w:sz w:val="20"/>
          <w:szCs w:val="20"/>
        </w:rPr>
        <w:t xml:space="preserve">esign </w:t>
      </w:r>
      <w:r>
        <w:rPr>
          <w:rFonts w:ascii="Arial" w:hAnsi="Arial" w:cs="Arial"/>
          <w:b/>
          <w:bCs/>
          <w:sz w:val="20"/>
          <w:szCs w:val="20"/>
        </w:rPr>
        <w:t>f</w:t>
      </w:r>
      <w:r w:rsidR="00E93989" w:rsidRPr="00E93989">
        <w:rPr>
          <w:rFonts w:ascii="Arial" w:hAnsi="Arial" w:cs="Arial"/>
          <w:b/>
          <w:bCs/>
          <w:sz w:val="20"/>
          <w:szCs w:val="20"/>
        </w:rPr>
        <w:t>lexibility</w:t>
      </w:r>
    </w:p>
    <w:p w14:paraId="10D480B2" w14:textId="5EA057B4" w:rsidR="00C913F8" w:rsidRPr="00E93989" w:rsidRDefault="00C913F8" w:rsidP="00C913F8">
      <w:pPr>
        <w:spacing w:line="360" w:lineRule="auto"/>
        <w:ind w:right="1559"/>
        <w:jc w:val="both"/>
        <w:rPr>
          <w:rFonts w:ascii="Arial" w:hAnsi="Arial" w:cs="Arial"/>
          <w:sz w:val="20"/>
          <w:szCs w:val="20"/>
        </w:rPr>
      </w:pPr>
      <w:r>
        <w:rPr>
          <w:rFonts w:ascii="Arial" w:hAnsi="Arial" w:cs="Arial"/>
          <w:sz w:val="20"/>
          <w:szCs w:val="20"/>
        </w:rPr>
        <w:t>KRAIBURG TPE’s material compounds o</w:t>
      </w:r>
      <w:r w:rsidRPr="00E93989">
        <w:rPr>
          <w:rFonts w:ascii="Arial" w:hAnsi="Arial" w:cs="Arial"/>
          <w:sz w:val="20"/>
          <w:szCs w:val="20"/>
        </w:rPr>
        <w:t xml:space="preserve">ffer </w:t>
      </w:r>
      <w:hyperlink r:id="rId13" w:history="1">
        <w:r w:rsidRPr="00160D05">
          <w:rPr>
            <w:rStyle w:val="Hyperlink"/>
            <w:rFonts w:ascii="Arial" w:hAnsi="Arial" w:cs="Arial"/>
            <w:sz w:val="20"/>
            <w:szCs w:val="20"/>
          </w:rPr>
          <w:t xml:space="preserve">excellent </w:t>
        </w:r>
        <w:proofErr w:type="spellStart"/>
        <w:r w:rsidRPr="00160D05">
          <w:rPr>
            <w:rStyle w:val="Hyperlink"/>
            <w:rFonts w:ascii="Arial" w:hAnsi="Arial" w:cs="Arial"/>
            <w:sz w:val="20"/>
            <w:szCs w:val="20"/>
          </w:rPr>
          <w:t>colorability</w:t>
        </w:r>
        <w:proofErr w:type="spellEnd"/>
      </w:hyperlink>
      <w:r w:rsidRPr="00E93989">
        <w:rPr>
          <w:rFonts w:ascii="Arial" w:hAnsi="Arial" w:cs="Arial"/>
          <w:sz w:val="20"/>
          <w:szCs w:val="20"/>
        </w:rPr>
        <w:t xml:space="preserve">, allowing flexible product design and enabling functional color coding or visual differentiation in farming equipment. </w:t>
      </w:r>
      <w:r>
        <w:rPr>
          <w:rFonts w:ascii="Arial" w:hAnsi="Arial" w:cs="Arial"/>
          <w:sz w:val="20"/>
          <w:szCs w:val="20"/>
        </w:rPr>
        <w:t xml:space="preserve">The materials being </w:t>
      </w:r>
      <w:r w:rsidR="00626587" w:rsidRPr="006C0DE7">
        <w:rPr>
          <w:rFonts w:ascii="Arial" w:hAnsi="Arial" w:cs="Arial"/>
          <w:sz w:val="20"/>
          <w:szCs w:val="20"/>
        </w:rPr>
        <w:t>colorable</w:t>
      </w:r>
      <w:r w:rsidRPr="006C0DE7">
        <w:rPr>
          <w:rFonts w:ascii="Arial" w:hAnsi="Arial" w:cs="Arial"/>
          <w:sz w:val="20"/>
          <w:szCs w:val="20"/>
        </w:rPr>
        <w:t xml:space="preserve"> in-mass</w:t>
      </w:r>
      <w:r>
        <w:rPr>
          <w:rFonts w:ascii="Arial" w:hAnsi="Arial" w:cs="Arial"/>
          <w:sz w:val="20"/>
          <w:szCs w:val="20"/>
        </w:rPr>
        <w:t xml:space="preserve"> ensures color is prevented from</w:t>
      </w:r>
      <w:r w:rsidRPr="006C0DE7">
        <w:rPr>
          <w:rFonts w:ascii="Arial" w:hAnsi="Arial" w:cs="Arial"/>
          <w:sz w:val="20"/>
          <w:szCs w:val="20"/>
        </w:rPr>
        <w:t xml:space="preserve"> peeling or fading coatings that could affect long-term usability.</w:t>
      </w:r>
      <w:r>
        <w:rPr>
          <w:rFonts w:ascii="Arial" w:hAnsi="Arial" w:cs="Arial"/>
          <w:sz w:val="20"/>
          <w:szCs w:val="20"/>
        </w:rPr>
        <w:t xml:space="preserve"> </w:t>
      </w:r>
    </w:p>
    <w:p w14:paraId="5F675A01" w14:textId="77777777" w:rsidR="00F304DC" w:rsidRPr="00EF5652" w:rsidRDefault="00F304DC" w:rsidP="00E93989">
      <w:pPr>
        <w:spacing w:line="360" w:lineRule="auto"/>
        <w:ind w:right="1559"/>
        <w:jc w:val="both"/>
        <w:rPr>
          <w:rFonts w:ascii="Arial" w:hAnsi="Arial" w:cs="Arial"/>
          <w:sz w:val="6"/>
          <w:szCs w:val="6"/>
        </w:rPr>
      </w:pPr>
    </w:p>
    <w:p w14:paraId="1935BF95" w14:textId="13F2B458"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lastRenderedPageBreak/>
        <w:t>Sustainability from the get-go</w:t>
      </w:r>
    </w:p>
    <w:p w14:paraId="3E037EFC" w14:textId="017AD741"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4" w:history="1">
        <w:r w:rsidRPr="00B51AB5">
          <w:rPr>
            <w:rStyle w:val="Hyperlink"/>
            <w:rFonts w:ascii="Arial" w:hAnsi="Arial" w:cs="Arial"/>
            <w:sz w:val="20"/>
            <w:szCs w:val="20"/>
          </w:rPr>
          <w:t>sustainability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0C8F5EF4"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We proudly earned the </w:t>
      </w:r>
      <w:proofErr w:type="spellStart"/>
      <w:r w:rsidRPr="00FF3DF8">
        <w:rPr>
          <w:rFonts w:ascii="Arial" w:hAnsi="Arial" w:cs="Arial"/>
          <w:sz w:val="20"/>
          <w:szCs w:val="20"/>
        </w:rPr>
        <w:t>EcoVadis</w:t>
      </w:r>
      <w:proofErr w:type="spellEnd"/>
      <w:r w:rsidRPr="00FF3DF8">
        <w:rPr>
          <w:rFonts w:ascii="Arial" w:hAnsi="Arial" w:cs="Arial"/>
          <w:sz w:val="20"/>
          <w:szCs w:val="20"/>
        </w:rPr>
        <w:t xml:space="preserve"> Gold Medal in 202</w:t>
      </w:r>
      <w:r w:rsidR="00E3647F">
        <w:rPr>
          <w:rFonts w:ascii="Arial" w:hAnsi="Arial" w:cs="Arial" w:hint="eastAsia"/>
          <w:sz w:val="20"/>
          <w:szCs w:val="20"/>
          <w:lang w:eastAsia="zh-CN"/>
        </w:rPr>
        <w:t>5</w:t>
      </w:r>
      <w:r w:rsidRPr="00FF3DF8">
        <w:rPr>
          <w:rFonts w:ascii="Arial" w:hAnsi="Arial" w:cs="Arial"/>
          <w:sz w:val="20"/>
          <w:szCs w:val="20"/>
        </w:rPr>
        <w:t xml:space="preserve">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Get in touch today to learn how KRAIBURG TPE can support your sustainability and product development journey.</w:t>
      </w:r>
    </w:p>
    <w:p w14:paraId="05CE89B4" w14:textId="767F9160" w:rsidR="00203E3A" w:rsidRPr="00160D05" w:rsidRDefault="00203E3A" w:rsidP="002A2985">
      <w:pPr>
        <w:spacing w:line="360" w:lineRule="auto"/>
        <w:ind w:right="1559"/>
        <w:jc w:val="both"/>
        <w:rPr>
          <w:rFonts w:ascii="Arial" w:hAnsi="Arial" w:cs="Arial"/>
          <w:b/>
          <w:bCs/>
          <w:color w:val="000000" w:themeColor="text1"/>
          <w:sz w:val="20"/>
          <w:szCs w:val="20"/>
        </w:rPr>
      </w:pPr>
      <w:r w:rsidRPr="00160D05">
        <w:rPr>
          <w:rFonts w:ascii="Arial" w:hAnsi="Arial" w:cs="Arial"/>
          <w:b/>
          <w:bCs/>
          <w:color w:val="000000" w:themeColor="text1"/>
          <w:sz w:val="20"/>
          <w:szCs w:val="20"/>
        </w:rPr>
        <w:t>Discover More with TPE</w:t>
      </w:r>
      <w:r w:rsidRPr="00160D05">
        <w:rPr>
          <w:rFonts w:ascii="Arial" w:hAnsi="Arial" w:cs="Arial"/>
          <w:b/>
          <w:bCs/>
          <w:color w:val="000000" w:themeColor="text1"/>
          <w:sz w:val="20"/>
          <w:szCs w:val="20"/>
          <w:lang w:eastAsia="zh-CN"/>
        </w:rPr>
        <w:t>：</w:t>
      </w:r>
      <w:r w:rsidRPr="00160D05">
        <w:rPr>
          <w:rFonts w:ascii="Arial" w:hAnsi="Arial" w:cs="Arial"/>
          <w:color w:val="000000" w:themeColor="text1"/>
          <w:sz w:val="20"/>
          <w:szCs w:val="20"/>
        </w:rPr>
        <w:t xml:space="preserve">Enhance everyday life with versatile TPE solutions designed for safety, comfort, and creativity. From </w:t>
      </w:r>
      <w:hyperlink r:id="rId15" w:history="1">
        <w:r w:rsidRPr="00160D05">
          <w:rPr>
            <w:rStyle w:val="Hyperlink"/>
            <w:rFonts w:ascii="Arial" w:hAnsi="Arial" w:cs="Arial"/>
            <w:sz w:val="20"/>
            <w:szCs w:val="20"/>
          </w:rPr>
          <w:t>pet toys</w:t>
        </w:r>
      </w:hyperlink>
      <w:r w:rsidRPr="00160D05">
        <w:rPr>
          <w:rFonts w:ascii="Arial" w:hAnsi="Arial" w:cs="Arial"/>
          <w:color w:val="000000" w:themeColor="text1"/>
          <w:sz w:val="20"/>
          <w:szCs w:val="20"/>
        </w:rPr>
        <w:t xml:space="preserve"> to </w:t>
      </w:r>
      <w:hyperlink r:id="rId16" w:history="1">
        <w:r w:rsidR="00160D05" w:rsidRPr="00160D05">
          <w:rPr>
            <w:rStyle w:val="Hyperlink"/>
            <w:rFonts w:ascii="Arial" w:hAnsi="Arial" w:cs="Arial"/>
            <w:sz w:val="20"/>
            <w:szCs w:val="20"/>
            <w:lang w:eastAsia="zh-CN"/>
          </w:rPr>
          <w:t>water storage solutions</w:t>
        </w:r>
      </w:hyperlink>
      <w:r w:rsidRPr="00160D05">
        <w:rPr>
          <w:rFonts w:ascii="Arial" w:hAnsi="Arial" w:cs="Arial"/>
          <w:color w:val="000000" w:themeColor="text1"/>
          <w:sz w:val="20"/>
          <w:szCs w:val="20"/>
        </w:rPr>
        <w:t>, our materials help deliver better performance and smarter design in the products you use every day.</w:t>
      </w:r>
    </w:p>
    <w:p w14:paraId="6FD6A99C" w14:textId="4CDAED4D" w:rsid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059CBC2C" w:rsidR="005320D5" w:rsidRPr="00E93989" w:rsidRDefault="006C7C8B" w:rsidP="0006085F">
      <w:pPr>
        <w:spacing w:line="360" w:lineRule="auto"/>
        <w:ind w:right="1559"/>
        <w:jc w:val="both"/>
        <w:rPr>
          <w:rFonts w:ascii="Arial" w:hAnsi="Arial" w:cs="Arial"/>
          <w:b/>
          <w:bCs/>
          <w:sz w:val="20"/>
          <w:szCs w:val="20"/>
          <w:lang w:bidi="ar-SA"/>
        </w:rPr>
      </w:pPr>
      <w:r>
        <w:rPr>
          <w:rFonts w:ascii="Arial" w:hAnsi="Arial" w:cs="Arial"/>
          <w:noProof/>
          <w:sz w:val="20"/>
          <w:szCs w:val="20"/>
          <w:lang w:eastAsia="zh-CN"/>
        </w:rPr>
        <w:lastRenderedPageBreak/>
        <w:drawing>
          <wp:inline distT="0" distB="0" distL="0" distR="0" wp14:anchorId="68EBA3E5" wp14:editId="7A73DCC1">
            <wp:extent cx="4122420" cy="2280812"/>
            <wp:effectExtent l="0" t="0" r="0" b="5715"/>
            <wp:docPr id="205754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4988" name="Picture 20575498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149124" cy="2295586"/>
                    </a:xfrm>
                    <a:prstGeom prst="rect">
                      <a:avLst/>
                    </a:prstGeom>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E93989">
        <w:rPr>
          <w:rFonts w:ascii="Arial" w:hAnsi="Arial" w:cs="Arial" w:hint="eastAsia"/>
          <w:b/>
          <w:bCs/>
          <w:sz w:val="20"/>
          <w:szCs w:val="20"/>
          <w:lang w:eastAsia="zh-CN" w:bidi="ar-SA"/>
        </w:rPr>
        <w:t xml:space="preserve"> </w:t>
      </w:r>
      <w:r w:rsidR="005320D5" w:rsidRPr="003E4160">
        <w:rPr>
          <w:rFonts w:ascii="Arial" w:hAnsi="Arial" w:cs="Arial"/>
          <w:b/>
          <w:bCs/>
          <w:sz w:val="20"/>
          <w:szCs w:val="20"/>
          <w:lang w:bidi="ar-SA"/>
        </w:rPr>
        <w:t>KRAIBURG TPE)</w:t>
      </w:r>
    </w:p>
    <w:p w14:paraId="053987E0" w14:textId="2B74CCEE"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1"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4"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826E8A8" w14:textId="0CD808F6" w:rsidR="00020D95" w:rsidRDefault="002C536B" w:rsidP="00203E3A">
      <w:pPr>
        <w:spacing w:line="360" w:lineRule="auto"/>
        <w:ind w:right="1842"/>
        <w:jc w:val="both"/>
        <w:rPr>
          <w:rFonts w:ascii="Arial" w:hAnsi="Arial" w:cs="Arial"/>
          <w:sz w:val="20"/>
          <w:szCs w:val="20"/>
        </w:rPr>
      </w:pPr>
      <w:r w:rsidRPr="003E4160">
        <w:rPr>
          <w:rFonts w:ascii="Arial" w:hAnsi="Arial" w:cs="Arial"/>
          <w:sz w:val="20"/>
          <w:szCs w:val="20"/>
        </w:rPr>
        <w:t>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w:t>
      </w:r>
      <w:r w:rsidR="00510C41">
        <w:rPr>
          <w:rFonts w:ascii="Arial" w:hAnsi="Arial" w:cs="Arial" w:hint="eastAsia"/>
          <w:sz w:val="20"/>
          <w:szCs w:val="20"/>
          <w:lang w:eastAsia="zh-CN"/>
        </w:rPr>
        <w:t xml:space="preserve"> 7</w:t>
      </w:r>
      <w:r w:rsidR="009F4AA5">
        <w:rPr>
          <w:rFonts w:ascii="Arial" w:hAnsi="Arial" w:cs="Arial" w:hint="eastAsia"/>
          <w:sz w:val="20"/>
          <w:szCs w:val="20"/>
          <w:lang w:eastAsia="zh-CN"/>
        </w:rPr>
        <w:t>18</w:t>
      </w:r>
      <w:r w:rsidRPr="003E4160">
        <w:rPr>
          <w:rFonts w:ascii="Arial" w:hAnsi="Arial" w:cs="Arial"/>
          <w:sz w:val="20"/>
          <w:szCs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E54672">
        <w:rPr>
          <w:rFonts w:ascii="Arial" w:hAnsi="Arial" w:cs="Arial"/>
          <w:sz w:val="20"/>
          <w:szCs w:val="20"/>
          <w:vertAlign w:val="superscript"/>
        </w:rPr>
        <w:t>®</w:t>
      </w:r>
      <w:r w:rsidRPr="003E4160">
        <w:rPr>
          <w:rFonts w:ascii="Arial" w:hAnsi="Arial" w:cs="Arial"/>
          <w:sz w:val="20"/>
          <w:szCs w:val="20"/>
        </w:rPr>
        <w:t>, COPEC</w:t>
      </w:r>
      <w:r w:rsidRPr="00E54672">
        <w:rPr>
          <w:rFonts w:ascii="Arial" w:hAnsi="Arial" w:cs="Arial"/>
          <w:sz w:val="20"/>
          <w:szCs w:val="20"/>
          <w:vertAlign w:val="superscript"/>
        </w:rPr>
        <w:t>®</w:t>
      </w:r>
      <w:r w:rsidRPr="003E4160">
        <w:rPr>
          <w:rFonts w:ascii="Arial" w:hAnsi="Arial" w:cs="Arial"/>
          <w:sz w:val="20"/>
          <w:szCs w:val="20"/>
        </w:rPr>
        <w:t>, HIPEX</w:t>
      </w:r>
      <w:r w:rsidRPr="00E54672">
        <w:rPr>
          <w:rFonts w:ascii="Arial" w:hAnsi="Arial" w:cs="Arial"/>
          <w:sz w:val="20"/>
          <w:szCs w:val="20"/>
          <w:vertAlign w:val="superscript"/>
        </w:rPr>
        <w:t>®</w:t>
      </w:r>
      <w:r w:rsidRPr="003E4160">
        <w:rPr>
          <w:rFonts w:ascii="Arial" w:hAnsi="Arial" w:cs="Arial"/>
          <w:sz w:val="20"/>
          <w:szCs w:val="20"/>
        </w:rPr>
        <w:t xml:space="preserve"> and For Tec E</w:t>
      </w:r>
      <w:r w:rsidRPr="00E54672">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020D95"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C0B5A" w14:textId="77777777" w:rsidR="009F13BE" w:rsidRDefault="009F13BE" w:rsidP="00784C57">
      <w:pPr>
        <w:spacing w:after="0" w:line="240" w:lineRule="auto"/>
      </w:pPr>
      <w:r>
        <w:separator/>
      </w:r>
    </w:p>
  </w:endnote>
  <w:endnote w:type="continuationSeparator" w:id="0">
    <w:p w14:paraId="7E767CC4" w14:textId="77777777" w:rsidR="009F13BE" w:rsidRDefault="009F13B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587F3" w14:textId="77777777" w:rsidR="009F13BE" w:rsidRDefault="009F13BE" w:rsidP="00784C57">
      <w:pPr>
        <w:spacing w:after="0" w:line="240" w:lineRule="auto"/>
      </w:pPr>
      <w:r>
        <w:separator/>
      </w:r>
    </w:p>
  </w:footnote>
  <w:footnote w:type="continuationSeparator" w:id="0">
    <w:p w14:paraId="661DF3F0" w14:textId="77777777" w:rsidR="009F13BE" w:rsidRDefault="009F13B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90C5FED" w14:textId="77777777" w:rsidR="008A253E" w:rsidRDefault="008A253E" w:rsidP="008928A5">
          <w:pPr>
            <w:spacing w:after="0" w:line="360" w:lineRule="auto"/>
            <w:ind w:left="-105"/>
            <w:jc w:val="both"/>
            <w:rPr>
              <w:rFonts w:ascii="Arial" w:hAnsi="Arial" w:cs="Arial"/>
              <w:b/>
              <w:bCs/>
              <w:sz w:val="16"/>
              <w:szCs w:val="16"/>
            </w:rPr>
          </w:pPr>
          <w:r w:rsidRPr="008A253E">
            <w:rPr>
              <w:rFonts w:ascii="Arial" w:hAnsi="Arial" w:cs="Arial"/>
              <w:b/>
              <w:bCs/>
              <w:sz w:val="16"/>
              <w:szCs w:val="16"/>
            </w:rPr>
            <w:t>How Can Livestock Farming Equipment Achieve Greater Durability? KRAIBURG TPE Breeds Reliable Performance in Livestock Farming Tools with TPE</w:t>
          </w:r>
        </w:p>
        <w:p w14:paraId="469BFF41" w14:textId="7E25BE8F" w:rsidR="000B103A" w:rsidRDefault="000B103A" w:rsidP="008928A5">
          <w:pPr>
            <w:spacing w:after="0" w:line="360" w:lineRule="auto"/>
            <w:ind w:left="-105"/>
            <w:jc w:val="both"/>
            <w:rPr>
              <w:rFonts w:ascii="Arial" w:hAnsi="Arial" w:cs="Arial"/>
              <w:b/>
              <w:bCs/>
              <w:sz w:val="16"/>
              <w:szCs w:val="16"/>
              <w:lang w:eastAsia="zh-CN"/>
            </w:rPr>
          </w:pPr>
          <w:r w:rsidRPr="000B103A">
            <w:rPr>
              <w:rFonts w:ascii="Arial" w:hAnsi="Arial" w:cs="Arial"/>
              <w:b/>
              <w:bCs/>
              <w:sz w:val="16"/>
              <w:szCs w:val="16"/>
            </w:rPr>
            <w:t xml:space="preserve">Kuala Lumpur, </w:t>
          </w:r>
          <w:r w:rsidR="008928A5">
            <w:rPr>
              <w:rFonts w:ascii="Arial" w:hAnsi="Arial" w:cs="Arial" w:hint="eastAsia"/>
              <w:b/>
              <w:bCs/>
              <w:sz w:val="16"/>
              <w:szCs w:val="16"/>
              <w:lang w:eastAsia="zh-CN"/>
            </w:rPr>
            <w:t>September</w:t>
          </w:r>
          <w:r w:rsidR="004854A7">
            <w:rPr>
              <w:rFonts w:ascii="Arial" w:hAnsi="Arial" w:cs="Arial" w:hint="eastAsia"/>
              <w:b/>
              <w:bCs/>
              <w:sz w:val="16"/>
              <w:szCs w:val="16"/>
              <w:lang w:eastAsia="zh-CN"/>
            </w:rPr>
            <w:t xml:space="preserve"> </w:t>
          </w:r>
          <w:r w:rsidRPr="000B103A">
            <w:rPr>
              <w:rFonts w:ascii="Arial" w:hAnsi="Arial" w:cs="Arial"/>
              <w:b/>
              <w:bCs/>
              <w:sz w:val="16"/>
              <w:szCs w:val="16"/>
            </w:rPr>
            <w:t>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0126CC89" w14:textId="77777777" w:rsidR="00160D05" w:rsidRPr="00073D11" w:rsidRDefault="00160D0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77777777" w:rsidR="00203E3A" w:rsidRDefault="003C4170" w:rsidP="00203E3A">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67743CAA" w14:textId="77777777" w:rsidR="008A253E" w:rsidRDefault="008A253E" w:rsidP="003804B8">
          <w:pPr>
            <w:spacing w:after="0" w:line="360" w:lineRule="auto"/>
            <w:ind w:left="-105"/>
            <w:jc w:val="both"/>
            <w:rPr>
              <w:rFonts w:ascii="Arial" w:hAnsi="Arial" w:cs="Arial"/>
              <w:b/>
              <w:bCs/>
              <w:sz w:val="16"/>
              <w:szCs w:val="16"/>
            </w:rPr>
          </w:pPr>
          <w:r w:rsidRPr="008A253E">
            <w:rPr>
              <w:rFonts w:ascii="Arial" w:hAnsi="Arial" w:cs="Arial"/>
              <w:b/>
              <w:bCs/>
              <w:sz w:val="16"/>
              <w:szCs w:val="16"/>
            </w:rPr>
            <w:t>How Can Livestock Farming Equipment Achieve Greater Durability? KRAIBURG TPE Breeds Reliable Performance in Livestock Farming Tools with TPE</w:t>
          </w:r>
        </w:p>
        <w:p w14:paraId="765F9503" w14:textId="1DBC9A32"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8928A5">
            <w:rPr>
              <w:rFonts w:ascii="Arial" w:hAnsi="Arial" w:hint="eastAsia"/>
              <w:b/>
              <w:sz w:val="16"/>
              <w:szCs w:val="16"/>
              <w:lang w:eastAsia="zh-CN"/>
            </w:rPr>
            <w:t>September</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1021EBC1" w:rsidR="003C4170" w:rsidRPr="00073D11" w:rsidRDefault="003C4170" w:rsidP="003C4170">
          <w:pPr>
            <w:spacing w:after="0" w:line="360" w:lineRule="auto"/>
            <w:ind w:left="-105"/>
            <w:jc w:val="both"/>
            <w:rPr>
              <w:rFonts w:ascii="Arial" w:hAnsi="Arial" w:cs="Arial"/>
              <w:b/>
              <w:bCs/>
              <w:sz w:val="16"/>
              <w:szCs w:val="16"/>
              <w:lang w:eastAsia="zh-CN"/>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616F86"/>
    <w:multiLevelType w:val="multilevel"/>
    <w:tmpl w:val="7B96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4"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8E228F6"/>
    <w:multiLevelType w:val="hybridMultilevel"/>
    <w:tmpl w:val="FF90B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73228"/>
    <w:multiLevelType w:val="multilevel"/>
    <w:tmpl w:val="D310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DC60C52"/>
    <w:multiLevelType w:val="hybridMultilevel"/>
    <w:tmpl w:val="8C52A11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4"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5"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9"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DD6035"/>
    <w:multiLevelType w:val="hybridMultilevel"/>
    <w:tmpl w:val="C8503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8"/>
  </w:num>
  <w:num w:numId="2" w16cid:durableId="1576087645">
    <w:abstractNumId w:val="25"/>
  </w:num>
  <w:num w:numId="3" w16cid:durableId="1666392792">
    <w:abstractNumId w:val="5"/>
  </w:num>
  <w:num w:numId="4" w16cid:durableId="490297664">
    <w:abstractNumId w:val="41"/>
  </w:num>
  <w:num w:numId="5" w16cid:durableId="1443380260">
    <w:abstractNumId w:val="29"/>
  </w:num>
  <w:num w:numId="6" w16cid:durableId="378096122">
    <w:abstractNumId w:val="37"/>
  </w:num>
  <w:num w:numId="7" w16cid:durableId="1067997202">
    <w:abstractNumId w:val="16"/>
  </w:num>
  <w:num w:numId="8" w16cid:durableId="1679431497">
    <w:abstractNumId w:val="40"/>
  </w:num>
  <w:num w:numId="9" w16cid:durableId="916750107">
    <w:abstractNumId w:val="32"/>
  </w:num>
  <w:num w:numId="10" w16cid:durableId="1509297824">
    <w:abstractNumId w:val="3"/>
  </w:num>
  <w:num w:numId="11" w16cid:durableId="1970668113">
    <w:abstractNumId w:val="27"/>
  </w:num>
  <w:num w:numId="12" w16cid:durableId="800279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1"/>
  </w:num>
  <w:num w:numId="14" w16cid:durableId="976255332">
    <w:abstractNumId w:val="35"/>
  </w:num>
  <w:num w:numId="15" w16cid:durableId="1158425369">
    <w:abstractNumId w:val="26"/>
  </w:num>
  <w:num w:numId="16" w16cid:durableId="661472211">
    <w:abstractNumId w:val="28"/>
  </w:num>
  <w:num w:numId="17" w16cid:durableId="1574659210">
    <w:abstractNumId w:val="23"/>
  </w:num>
  <w:num w:numId="18" w16cid:durableId="1304626194">
    <w:abstractNumId w:val="22"/>
  </w:num>
  <w:num w:numId="19" w16cid:durableId="1588920452">
    <w:abstractNumId w:val="34"/>
  </w:num>
  <w:num w:numId="20" w16cid:durableId="1621104893">
    <w:abstractNumId w:val="12"/>
  </w:num>
  <w:num w:numId="21" w16cid:durableId="251740466">
    <w:abstractNumId w:val="10"/>
  </w:num>
  <w:num w:numId="22" w16cid:durableId="283343544">
    <w:abstractNumId w:val="39"/>
  </w:num>
  <w:num w:numId="23" w16cid:durableId="163130691">
    <w:abstractNumId w:val="38"/>
  </w:num>
  <w:num w:numId="24" w16cid:durableId="171531164">
    <w:abstractNumId w:val="6"/>
  </w:num>
  <w:num w:numId="25" w16cid:durableId="95096399">
    <w:abstractNumId w:val="1"/>
  </w:num>
  <w:num w:numId="26" w16cid:durableId="1220241935">
    <w:abstractNumId w:val="17"/>
  </w:num>
  <w:num w:numId="27" w16cid:durableId="1676766463">
    <w:abstractNumId w:val="20"/>
  </w:num>
  <w:num w:numId="28" w16cid:durableId="1701204064">
    <w:abstractNumId w:val="24"/>
  </w:num>
  <w:num w:numId="29" w16cid:durableId="1321230247">
    <w:abstractNumId w:val="4"/>
  </w:num>
  <w:num w:numId="30" w16cid:durableId="1028143101">
    <w:abstractNumId w:val="9"/>
  </w:num>
  <w:num w:numId="31" w16cid:durableId="1136485434">
    <w:abstractNumId w:val="19"/>
  </w:num>
  <w:num w:numId="32" w16cid:durableId="94836933">
    <w:abstractNumId w:val="33"/>
  </w:num>
  <w:num w:numId="33" w16cid:durableId="375547831">
    <w:abstractNumId w:val="36"/>
  </w:num>
  <w:num w:numId="34" w16cid:durableId="1278096167">
    <w:abstractNumId w:val="7"/>
  </w:num>
  <w:num w:numId="35" w16cid:durableId="61371637">
    <w:abstractNumId w:val="18"/>
  </w:num>
  <w:num w:numId="36" w16cid:durableId="1952281434">
    <w:abstractNumId w:val="2"/>
  </w:num>
  <w:num w:numId="37" w16cid:durableId="1977102824">
    <w:abstractNumId w:val="30"/>
  </w:num>
  <w:num w:numId="38" w16cid:durableId="809441148">
    <w:abstractNumId w:val="15"/>
  </w:num>
  <w:num w:numId="39" w16cid:durableId="488058220">
    <w:abstractNumId w:val="0"/>
  </w:num>
  <w:num w:numId="40" w16cid:durableId="786659582">
    <w:abstractNumId w:val="42"/>
  </w:num>
  <w:num w:numId="41" w16cid:durableId="837622259">
    <w:abstractNumId w:val="13"/>
  </w:num>
  <w:num w:numId="42" w16cid:durableId="857088327">
    <w:abstractNumId w:val="31"/>
  </w:num>
  <w:num w:numId="43" w16cid:durableId="971401024">
    <w:abstractNumId w:val="21"/>
  </w:num>
  <w:num w:numId="44" w16cid:durableId="16069592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4BB9"/>
    <w:rsid w:val="000154A6"/>
    <w:rsid w:val="00020304"/>
    <w:rsid w:val="00020D95"/>
    <w:rsid w:val="00020FB5"/>
    <w:rsid w:val="00022CB1"/>
    <w:rsid w:val="00023A0F"/>
    <w:rsid w:val="00024DB6"/>
    <w:rsid w:val="0002758F"/>
    <w:rsid w:val="0002779F"/>
    <w:rsid w:val="000307BE"/>
    <w:rsid w:val="00034709"/>
    <w:rsid w:val="00035D86"/>
    <w:rsid w:val="00041B77"/>
    <w:rsid w:val="00044BDB"/>
    <w:rsid w:val="00044F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43FA"/>
    <w:rsid w:val="00096CA7"/>
    <w:rsid w:val="00097276"/>
    <w:rsid w:val="00097439"/>
    <w:rsid w:val="00097D31"/>
    <w:rsid w:val="000A03C6"/>
    <w:rsid w:val="000A20CD"/>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E4254"/>
    <w:rsid w:val="000F1CB4"/>
    <w:rsid w:val="000F2DAE"/>
    <w:rsid w:val="000F32CD"/>
    <w:rsid w:val="000F3315"/>
    <w:rsid w:val="000F3838"/>
    <w:rsid w:val="000F46B7"/>
    <w:rsid w:val="000F4AF2"/>
    <w:rsid w:val="000F7C93"/>
    <w:rsid w:val="000F7C99"/>
    <w:rsid w:val="00100A43"/>
    <w:rsid w:val="001028FC"/>
    <w:rsid w:val="00104033"/>
    <w:rsid w:val="00107310"/>
    <w:rsid w:val="001108E5"/>
    <w:rsid w:val="0011123D"/>
    <w:rsid w:val="001119A9"/>
    <w:rsid w:val="00111F9D"/>
    <w:rsid w:val="0011205C"/>
    <w:rsid w:val="0011255F"/>
    <w:rsid w:val="00112FED"/>
    <w:rsid w:val="00115094"/>
    <w:rsid w:val="00116B00"/>
    <w:rsid w:val="001175D8"/>
    <w:rsid w:val="0012042E"/>
    <w:rsid w:val="00120B15"/>
    <w:rsid w:val="00120CA8"/>
    <w:rsid w:val="00121D30"/>
    <w:rsid w:val="00122C56"/>
    <w:rsid w:val="001232BF"/>
    <w:rsid w:val="001238CF"/>
    <w:rsid w:val="001246FA"/>
    <w:rsid w:val="001248A4"/>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0D05"/>
    <w:rsid w:val="001611DE"/>
    <w:rsid w:val="00163E63"/>
    <w:rsid w:val="001655F4"/>
    <w:rsid w:val="00165956"/>
    <w:rsid w:val="0017332B"/>
    <w:rsid w:val="00173B45"/>
    <w:rsid w:val="0017431E"/>
    <w:rsid w:val="00175D8F"/>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CE4"/>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17334"/>
    <w:rsid w:val="00223982"/>
    <w:rsid w:val="00225F3D"/>
    <w:rsid w:val="00225FD8"/>
    <w:rsid w:val="002262B1"/>
    <w:rsid w:val="00232C78"/>
    <w:rsid w:val="00233574"/>
    <w:rsid w:val="00235BA5"/>
    <w:rsid w:val="002363A1"/>
    <w:rsid w:val="00241839"/>
    <w:rsid w:val="002427CB"/>
    <w:rsid w:val="00243167"/>
    <w:rsid w:val="002455DD"/>
    <w:rsid w:val="00250990"/>
    <w:rsid w:val="002528F1"/>
    <w:rsid w:val="00253081"/>
    <w:rsid w:val="00253563"/>
    <w:rsid w:val="00255BAE"/>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4223"/>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6118"/>
    <w:rsid w:val="002D73D6"/>
    <w:rsid w:val="002E1053"/>
    <w:rsid w:val="002E1955"/>
    <w:rsid w:val="002E4504"/>
    <w:rsid w:val="002E5641"/>
    <w:rsid w:val="002E7D7B"/>
    <w:rsid w:val="002F135A"/>
    <w:rsid w:val="002F2061"/>
    <w:rsid w:val="002F4492"/>
    <w:rsid w:val="002F5438"/>
    <w:rsid w:val="002F563D"/>
    <w:rsid w:val="002F573C"/>
    <w:rsid w:val="002F644A"/>
    <w:rsid w:val="002F71C5"/>
    <w:rsid w:val="002F72C0"/>
    <w:rsid w:val="00304543"/>
    <w:rsid w:val="00310A64"/>
    <w:rsid w:val="00310AB3"/>
    <w:rsid w:val="00312545"/>
    <w:rsid w:val="0031758F"/>
    <w:rsid w:val="003200C5"/>
    <w:rsid w:val="003214D1"/>
    <w:rsid w:val="00324D73"/>
    <w:rsid w:val="00325394"/>
    <w:rsid w:val="00325EA7"/>
    <w:rsid w:val="00326FA2"/>
    <w:rsid w:val="0033017E"/>
    <w:rsid w:val="00336A62"/>
    <w:rsid w:val="003376DC"/>
    <w:rsid w:val="00340D67"/>
    <w:rsid w:val="003451E9"/>
    <w:rsid w:val="00347067"/>
    <w:rsid w:val="00347474"/>
    <w:rsid w:val="0035152E"/>
    <w:rsid w:val="0035328E"/>
    <w:rsid w:val="0035407E"/>
    <w:rsid w:val="00356006"/>
    <w:rsid w:val="00357C6A"/>
    <w:rsid w:val="00360408"/>
    <w:rsid w:val="00364268"/>
    <w:rsid w:val="0036557B"/>
    <w:rsid w:val="00366B16"/>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97F33"/>
    <w:rsid w:val="003A0940"/>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D6CB8"/>
    <w:rsid w:val="003E2CB0"/>
    <w:rsid w:val="003E334E"/>
    <w:rsid w:val="003E3D8B"/>
    <w:rsid w:val="003E4160"/>
    <w:rsid w:val="003E42BD"/>
    <w:rsid w:val="003E54CC"/>
    <w:rsid w:val="003E5B99"/>
    <w:rsid w:val="003E649C"/>
    <w:rsid w:val="003F23A5"/>
    <w:rsid w:val="003F25E0"/>
    <w:rsid w:val="004002A2"/>
    <w:rsid w:val="00401FF2"/>
    <w:rsid w:val="0040224A"/>
    <w:rsid w:val="00403922"/>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342F"/>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2014"/>
    <w:rsid w:val="004A3BE3"/>
    <w:rsid w:val="004A444D"/>
    <w:rsid w:val="004A474D"/>
    <w:rsid w:val="004A5280"/>
    <w:rsid w:val="004A62E0"/>
    <w:rsid w:val="004A6454"/>
    <w:rsid w:val="004A68F9"/>
    <w:rsid w:val="004B0469"/>
    <w:rsid w:val="004B0A00"/>
    <w:rsid w:val="004B75FE"/>
    <w:rsid w:val="004B7FF3"/>
    <w:rsid w:val="004C1164"/>
    <w:rsid w:val="004C2F80"/>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48C"/>
    <w:rsid w:val="004F758B"/>
    <w:rsid w:val="0050086E"/>
    <w:rsid w:val="00502615"/>
    <w:rsid w:val="0050419E"/>
    <w:rsid w:val="00505735"/>
    <w:rsid w:val="005065BF"/>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37FD6"/>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86A86"/>
    <w:rsid w:val="005923C1"/>
    <w:rsid w:val="00593572"/>
    <w:rsid w:val="00597472"/>
    <w:rsid w:val="005A0C48"/>
    <w:rsid w:val="005A1B96"/>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E6A46"/>
    <w:rsid w:val="005F0BAB"/>
    <w:rsid w:val="005F2DD8"/>
    <w:rsid w:val="005F33E6"/>
    <w:rsid w:val="006013D1"/>
    <w:rsid w:val="00602F6D"/>
    <w:rsid w:val="0060437C"/>
    <w:rsid w:val="006052A4"/>
    <w:rsid w:val="00605ED9"/>
    <w:rsid w:val="00606218"/>
    <w:rsid w:val="00606916"/>
    <w:rsid w:val="00610497"/>
    <w:rsid w:val="00612364"/>
    <w:rsid w:val="00614010"/>
    <w:rsid w:val="00614013"/>
    <w:rsid w:val="00614B4D"/>
    <w:rsid w:val="006154FB"/>
    <w:rsid w:val="00615886"/>
    <w:rsid w:val="006168AE"/>
    <w:rsid w:val="00616A65"/>
    <w:rsid w:val="00620F45"/>
    <w:rsid w:val="00621FED"/>
    <w:rsid w:val="0062250B"/>
    <w:rsid w:val="006238F6"/>
    <w:rsid w:val="00624219"/>
    <w:rsid w:val="00625B78"/>
    <w:rsid w:val="00626587"/>
    <w:rsid w:val="00626FE3"/>
    <w:rsid w:val="00633556"/>
    <w:rsid w:val="006353DB"/>
    <w:rsid w:val="0063701A"/>
    <w:rsid w:val="006374E4"/>
    <w:rsid w:val="00640E12"/>
    <w:rsid w:val="006418D4"/>
    <w:rsid w:val="00644782"/>
    <w:rsid w:val="0064682E"/>
    <w:rsid w:val="0064765B"/>
    <w:rsid w:val="00651DCD"/>
    <w:rsid w:val="00654E6B"/>
    <w:rsid w:val="00655061"/>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4779"/>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0DE7"/>
    <w:rsid w:val="006C178C"/>
    <w:rsid w:val="006C1DF1"/>
    <w:rsid w:val="006C36A0"/>
    <w:rsid w:val="006C3919"/>
    <w:rsid w:val="006C4263"/>
    <w:rsid w:val="006C48AD"/>
    <w:rsid w:val="006C56CC"/>
    <w:rsid w:val="006C74BF"/>
    <w:rsid w:val="006C7C8B"/>
    <w:rsid w:val="006D0902"/>
    <w:rsid w:val="006D238F"/>
    <w:rsid w:val="006D333F"/>
    <w:rsid w:val="006D7BB3"/>
    <w:rsid w:val="006D7D9F"/>
    <w:rsid w:val="006E09F5"/>
    <w:rsid w:val="006E206D"/>
    <w:rsid w:val="006E449C"/>
    <w:rsid w:val="006E4B80"/>
    <w:rsid w:val="006E65CF"/>
    <w:rsid w:val="006F09EB"/>
    <w:rsid w:val="006F101D"/>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1"/>
    <w:rsid w:val="007228C7"/>
    <w:rsid w:val="00722F2A"/>
    <w:rsid w:val="00723A37"/>
    <w:rsid w:val="00726D03"/>
    <w:rsid w:val="0072737D"/>
    <w:rsid w:val="00727FF1"/>
    <w:rsid w:val="00730341"/>
    <w:rsid w:val="00736B12"/>
    <w:rsid w:val="007378CF"/>
    <w:rsid w:val="00742F33"/>
    <w:rsid w:val="00744F3B"/>
    <w:rsid w:val="00751611"/>
    <w:rsid w:val="0076079D"/>
    <w:rsid w:val="007620DB"/>
    <w:rsid w:val="00762555"/>
    <w:rsid w:val="0076732E"/>
    <w:rsid w:val="0077218F"/>
    <w:rsid w:val="00775746"/>
    <w:rsid w:val="0077610C"/>
    <w:rsid w:val="00781978"/>
    <w:rsid w:val="0078239C"/>
    <w:rsid w:val="00782483"/>
    <w:rsid w:val="00782F95"/>
    <w:rsid w:val="007831E2"/>
    <w:rsid w:val="00784C57"/>
    <w:rsid w:val="00785F5E"/>
    <w:rsid w:val="00786798"/>
    <w:rsid w:val="007935B6"/>
    <w:rsid w:val="00793BF4"/>
    <w:rsid w:val="00795A70"/>
    <w:rsid w:val="00796E8F"/>
    <w:rsid w:val="007974C7"/>
    <w:rsid w:val="007A137E"/>
    <w:rsid w:val="007A49B9"/>
    <w:rsid w:val="007A4B6C"/>
    <w:rsid w:val="007A568B"/>
    <w:rsid w:val="007A5BF6"/>
    <w:rsid w:val="007A7755"/>
    <w:rsid w:val="007B1D9F"/>
    <w:rsid w:val="007B21F8"/>
    <w:rsid w:val="007B3032"/>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04B67"/>
    <w:rsid w:val="0080510E"/>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4775A"/>
    <w:rsid w:val="00852988"/>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8A5"/>
    <w:rsid w:val="00892BAF"/>
    <w:rsid w:val="00892BB3"/>
    <w:rsid w:val="00893341"/>
    <w:rsid w:val="00893ECA"/>
    <w:rsid w:val="00894AEC"/>
    <w:rsid w:val="00895B7D"/>
    <w:rsid w:val="008A0207"/>
    <w:rsid w:val="008A055F"/>
    <w:rsid w:val="008A1DFE"/>
    <w:rsid w:val="008A253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D72C2"/>
    <w:rsid w:val="008E12A5"/>
    <w:rsid w:val="008E3FB4"/>
    <w:rsid w:val="008E5B5F"/>
    <w:rsid w:val="008E7663"/>
    <w:rsid w:val="008F1106"/>
    <w:rsid w:val="008F3C99"/>
    <w:rsid w:val="008F55F4"/>
    <w:rsid w:val="008F5957"/>
    <w:rsid w:val="008F7818"/>
    <w:rsid w:val="00900127"/>
    <w:rsid w:val="0090155A"/>
    <w:rsid w:val="00901B23"/>
    <w:rsid w:val="009044FB"/>
    <w:rsid w:val="00905FBF"/>
    <w:rsid w:val="00916950"/>
    <w:rsid w:val="00917AE5"/>
    <w:rsid w:val="00923998"/>
    <w:rsid w:val="00923B42"/>
    <w:rsid w:val="00923D2E"/>
    <w:rsid w:val="009324CB"/>
    <w:rsid w:val="00933D0B"/>
    <w:rsid w:val="00934150"/>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0C70"/>
    <w:rsid w:val="009618DB"/>
    <w:rsid w:val="0096225E"/>
    <w:rsid w:val="00963B89"/>
    <w:rsid w:val="00963BF7"/>
    <w:rsid w:val="009640D3"/>
    <w:rsid w:val="009640FC"/>
    <w:rsid w:val="00964C40"/>
    <w:rsid w:val="00970AD6"/>
    <w:rsid w:val="00970CE5"/>
    <w:rsid w:val="00975769"/>
    <w:rsid w:val="0098002D"/>
    <w:rsid w:val="00980DBB"/>
    <w:rsid w:val="00982932"/>
    <w:rsid w:val="0098323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62D"/>
    <w:rsid w:val="009C0FD6"/>
    <w:rsid w:val="009C48F1"/>
    <w:rsid w:val="009C71C3"/>
    <w:rsid w:val="009D2688"/>
    <w:rsid w:val="009D3742"/>
    <w:rsid w:val="009D46EB"/>
    <w:rsid w:val="009D4E5F"/>
    <w:rsid w:val="009D55E6"/>
    <w:rsid w:val="009D61E9"/>
    <w:rsid w:val="009D70B1"/>
    <w:rsid w:val="009D70E1"/>
    <w:rsid w:val="009D7143"/>
    <w:rsid w:val="009D76BB"/>
    <w:rsid w:val="009E16DB"/>
    <w:rsid w:val="009E74A0"/>
    <w:rsid w:val="009F13BE"/>
    <w:rsid w:val="009F499B"/>
    <w:rsid w:val="009F4AA5"/>
    <w:rsid w:val="009F619F"/>
    <w:rsid w:val="009F61CE"/>
    <w:rsid w:val="00A00A45"/>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06DD"/>
    <w:rsid w:val="00A62DDC"/>
    <w:rsid w:val="00A630E9"/>
    <w:rsid w:val="00A659B7"/>
    <w:rsid w:val="00A65BEC"/>
    <w:rsid w:val="00A66660"/>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34A"/>
    <w:rsid w:val="00A865DD"/>
    <w:rsid w:val="00A90AA6"/>
    <w:rsid w:val="00A91448"/>
    <w:rsid w:val="00A93D7F"/>
    <w:rsid w:val="00AA2548"/>
    <w:rsid w:val="00AA433C"/>
    <w:rsid w:val="00AA4BBD"/>
    <w:rsid w:val="00AA66C4"/>
    <w:rsid w:val="00AA6BA3"/>
    <w:rsid w:val="00AA6F36"/>
    <w:rsid w:val="00AB097A"/>
    <w:rsid w:val="00AB4736"/>
    <w:rsid w:val="00AB48F2"/>
    <w:rsid w:val="00AB4AEA"/>
    <w:rsid w:val="00AB4BC4"/>
    <w:rsid w:val="00AB7673"/>
    <w:rsid w:val="00AB7C2B"/>
    <w:rsid w:val="00AC131D"/>
    <w:rsid w:val="00AC56C2"/>
    <w:rsid w:val="00AD13B3"/>
    <w:rsid w:val="00AD2227"/>
    <w:rsid w:val="00AD29B8"/>
    <w:rsid w:val="00AD5919"/>
    <w:rsid w:val="00AD6D80"/>
    <w:rsid w:val="00AD7F3A"/>
    <w:rsid w:val="00AE1711"/>
    <w:rsid w:val="00AE2B4A"/>
    <w:rsid w:val="00AE2D28"/>
    <w:rsid w:val="00AE55DB"/>
    <w:rsid w:val="00AE7202"/>
    <w:rsid w:val="00AE7959"/>
    <w:rsid w:val="00AF1272"/>
    <w:rsid w:val="00AF3829"/>
    <w:rsid w:val="00AF442B"/>
    <w:rsid w:val="00AF4CB0"/>
    <w:rsid w:val="00AF706E"/>
    <w:rsid w:val="00AF73F9"/>
    <w:rsid w:val="00B00F3E"/>
    <w:rsid w:val="00B01CFA"/>
    <w:rsid w:val="00B022F8"/>
    <w:rsid w:val="00B039C3"/>
    <w:rsid w:val="00B04B2A"/>
    <w:rsid w:val="00B056AE"/>
    <w:rsid w:val="00B05D3F"/>
    <w:rsid w:val="00B11451"/>
    <w:rsid w:val="00B140E7"/>
    <w:rsid w:val="00B20B5D"/>
    <w:rsid w:val="00B20D0E"/>
    <w:rsid w:val="00B21133"/>
    <w:rsid w:val="00B26E20"/>
    <w:rsid w:val="00B303B1"/>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1AB5"/>
    <w:rsid w:val="00B52FDF"/>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87654"/>
    <w:rsid w:val="00B91858"/>
    <w:rsid w:val="00B9468C"/>
    <w:rsid w:val="00B9507E"/>
    <w:rsid w:val="00B95A63"/>
    <w:rsid w:val="00B9638B"/>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444"/>
    <w:rsid w:val="00BF27BE"/>
    <w:rsid w:val="00BF28D4"/>
    <w:rsid w:val="00BF4C2F"/>
    <w:rsid w:val="00BF722C"/>
    <w:rsid w:val="00C0054B"/>
    <w:rsid w:val="00C014DF"/>
    <w:rsid w:val="00C01C3D"/>
    <w:rsid w:val="00C0213E"/>
    <w:rsid w:val="00C02217"/>
    <w:rsid w:val="00C10035"/>
    <w:rsid w:val="00C104DC"/>
    <w:rsid w:val="00C10AEA"/>
    <w:rsid w:val="00C13AA4"/>
    <w:rsid w:val="00C153F5"/>
    <w:rsid w:val="00C15806"/>
    <w:rsid w:val="00C163EB"/>
    <w:rsid w:val="00C22CA9"/>
    <w:rsid w:val="00C232C4"/>
    <w:rsid w:val="00C2445B"/>
    <w:rsid w:val="00C24DC3"/>
    <w:rsid w:val="00C2537C"/>
    <w:rsid w:val="00C265B5"/>
    <w:rsid w:val="00C2668C"/>
    <w:rsid w:val="00C279B9"/>
    <w:rsid w:val="00C30003"/>
    <w:rsid w:val="00C33B05"/>
    <w:rsid w:val="00C33C80"/>
    <w:rsid w:val="00C34FE2"/>
    <w:rsid w:val="00C356A9"/>
    <w:rsid w:val="00C37354"/>
    <w:rsid w:val="00C41769"/>
    <w:rsid w:val="00C44B97"/>
    <w:rsid w:val="00C46197"/>
    <w:rsid w:val="00C47ACD"/>
    <w:rsid w:val="00C47B97"/>
    <w:rsid w:val="00C55745"/>
    <w:rsid w:val="00C566EF"/>
    <w:rsid w:val="00C56946"/>
    <w:rsid w:val="00C56E8D"/>
    <w:rsid w:val="00C6050D"/>
    <w:rsid w:val="00C61F6F"/>
    <w:rsid w:val="00C63BC8"/>
    <w:rsid w:val="00C64358"/>
    <w:rsid w:val="00C6643A"/>
    <w:rsid w:val="00C679AB"/>
    <w:rsid w:val="00C703D4"/>
    <w:rsid w:val="00C70EBC"/>
    <w:rsid w:val="00C72826"/>
    <w:rsid w:val="00C729F2"/>
    <w:rsid w:val="00C72E1E"/>
    <w:rsid w:val="00C765FC"/>
    <w:rsid w:val="00C8056E"/>
    <w:rsid w:val="00C81680"/>
    <w:rsid w:val="00C913F8"/>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181"/>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013DC"/>
    <w:rsid w:val="00D07096"/>
    <w:rsid w:val="00D13AE1"/>
    <w:rsid w:val="00D14EDD"/>
    <w:rsid w:val="00D14F71"/>
    <w:rsid w:val="00D1513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9B3"/>
    <w:rsid w:val="00D42EE1"/>
    <w:rsid w:val="00D43C51"/>
    <w:rsid w:val="00D47DF0"/>
    <w:rsid w:val="00D505D4"/>
    <w:rsid w:val="00D506DA"/>
    <w:rsid w:val="00D50D0C"/>
    <w:rsid w:val="00D50E35"/>
    <w:rsid w:val="00D52738"/>
    <w:rsid w:val="00D54E62"/>
    <w:rsid w:val="00D564E1"/>
    <w:rsid w:val="00D570E8"/>
    <w:rsid w:val="00D619AD"/>
    <w:rsid w:val="00D625E9"/>
    <w:rsid w:val="00D6472D"/>
    <w:rsid w:val="00D65E49"/>
    <w:rsid w:val="00D72457"/>
    <w:rsid w:val="00D81F17"/>
    <w:rsid w:val="00D821DB"/>
    <w:rsid w:val="00D8276E"/>
    <w:rsid w:val="00D8470D"/>
    <w:rsid w:val="00D86D57"/>
    <w:rsid w:val="00D87E3B"/>
    <w:rsid w:val="00D90DD5"/>
    <w:rsid w:val="00D931A9"/>
    <w:rsid w:val="00D932B0"/>
    <w:rsid w:val="00D93ABE"/>
    <w:rsid w:val="00D95D0D"/>
    <w:rsid w:val="00D9749E"/>
    <w:rsid w:val="00DA0553"/>
    <w:rsid w:val="00DA10D2"/>
    <w:rsid w:val="00DA32DD"/>
    <w:rsid w:val="00DA40D9"/>
    <w:rsid w:val="00DB1EA5"/>
    <w:rsid w:val="00DB2468"/>
    <w:rsid w:val="00DB3012"/>
    <w:rsid w:val="00DB48B6"/>
    <w:rsid w:val="00DB6EAE"/>
    <w:rsid w:val="00DC00E7"/>
    <w:rsid w:val="00DC0DD6"/>
    <w:rsid w:val="00DC10C6"/>
    <w:rsid w:val="00DC32CA"/>
    <w:rsid w:val="00DC37D3"/>
    <w:rsid w:val="00DC6774"/>
    <w:rsid w:val="00DD459C"/>
    <w:rsid w:val="00DD6B70"/>
    <w:rsid w:val="00DE0725"/>
    <w:rsid w:val="00DE1673"/>
    <w:rsid w:val="00DE2E5C"/>
    <w:rsid w:val="00DE30B8"/>
    <w:rsid w:val="00DE4348"/>
    <w:rsid w:val="00DE6719"/>
    <w:rsid w:val="00DF02DC"/>
    <w:rsid w:val="00DF13FA"/>
    <w:rsid w:val="00DF2590"/>
    <w:rsid w:val="00DF6D95"/>
    <w:rsid w:val="00DF7FD8"/>
    <w:rsid w:val="00E033BD"/>
    <w:rsid w:val="00E039D8"/>
    <w:rsid w:val="00E11531"/>
    <w:rsid w:val="00E14E87"/>
    <w:rsid w:val="00E15BE5"/>
    <w:rsid w:val="00E17CAC"/>
    <w:rsid w:val="00E22EFE"/>
    <w:rsid w:val="00E24612"/>
    <w:rsid w:val="00E30FE5"/>
    <w:rsid w:val="00E31A02"/>
    <w:rsid w:val="00E31B1F"/>
    <w:rsid w:val="00E31F55"/>
    <w:rsid w:val="00E324CD"/>
    <w:rsid w:val="00E341E9"/>
    <w:rsid w:val="00E34355"/>
    <w:rsid w:val="00E34E27"/>
    <w:rsid w:val="00E3647F"/>
    <w:rsid w:val="00E44112"/>
    <w:rsid w:val="00E475CA"/>
    <w:rsid w:val="00E52729"/>
    <w:rsid w:val="00E533F6"/>
    <w:rsid w:val="00E54672"/>
    <w:rsid w:val="00E56897"/>
    <w:rsid w:val="00E57256"/>
    <w:rsid w:val="00E61AA8"/>
    <w:rsid w:val="00E628B9"/>
    <w:rsid w:val="00E63371"/>
    <w:rsid w:val="00E63E21"/>
    <w:rsid w:val="00E64551"/>
    <w:rsid w:val="00E72840"/>
    <w:rsid w:val="00E75CF3"/>
    <w:rsid w:val="00E7706D"/>
    <w:rsid w:val="00E812C0"/>
    <w:rsid w:val="00E85ACE"/>
    <w:rsid w:val="00E872C3"/>
    <w:rsid w:val="00E873E0"/>
    <w:rsid w:val="00E908C9"/>
    <w:rsid w:val="00E90E3A"/>
    <w:rsid w:val="00E91051"/>
    <w:rsid w:val="00E92853"/>
    <w:rsid w:val="00E92FE9"/>
    <w:rsid w:val="00E93989"/>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C716F"/>
    <w:rsid w:val="00ED0289"/>
    <w:rsid w:val="00ED1805"/>
    <w:rsid w:val="00ED7A78"/>
    <w:rsid w:val="00EE3F90"/>
    <w:rsid w:val="00EE4A53"/>
    <w:rsid w:val="00EE5010"/>
    <w:rsid w:val="00EE72C8"/>
    <w:rsid w:val="00EF1FB3"/>
    <w:rsid w:val="00EF2232"/>
    <w:rsid w:val="00EF5652"/>
    <w:rsid w:val="00EF79F8"/>
    <w:rsid w:val="00F02134"/>
    <w:rsid w:val="00F05006"/>
    <w:rsid w:val="00F076BB"/>
    <w:rsid w:val="00F11E25"/>
    <w:rsid w:val="00F125F3"/>
    <w:rsid w:val="00F14DFB"/>
    <w:rsid w:val="00F1643C"/>
    <w:rsid w:val="00F16A91"/>
    <w:rsid w:val="00F20F7E"/>
    <w:rsid w:val="00F217EF"/>
    <w:rsid w:val="00F24EA1"/>
    <w:rsid w:val="00F26BC9"/>
    <w:rsid w:val="00F27204"/>
    <w:rsid w:val="00F304DC"/>
    <w:rsid w:val="00F32BCD"/>
    <w:rsid w:val="00F33088"/>
    <w:rsid w:val="00F33DFA"/>
    <w:rsid w:val="00F340B5"/>
    <w:rsid w:val="00F343B7"/>
    <w:rsid w:val="00F350F1"/>
    <w:rsid w:val="00F3543E"/>
    <w:rsid w:val="00F36C84"/>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DB8"/>
    <w:rsid w:val="00F75E4D"/>
    <w:rsid w:val="00F76BA3"/>
    <w:rsid w:val="00F80C20"/>
    <w:rsid w:val="00F81054"/>
    <w:rsid w:val="00F82312"/>
    <w:rsid w:val="00F83C1A"/>
    <w:rsid w:val="00F848C3"/>
    <w:rsid w:val="00F858DF"/>
    <w:rsid w:val="00F85FEB"/>
    <w:rsid w:val="00F874B6"/>
    <w:rsid w:val="00F9399A"/>
    <w:rsid w:val="00F951FB"/>
    <w:rsid w:val="00F9551A"/>
    <w:rsid w:val="00F96748"/>
    <w:rsid w:val="00F972F3"/>
    <w:rsid w:val="00F97DC4"/>
    <w:rsid w:val="00FA0E5D"/>
    <w:rsid w:val="00FA130E"/>
    <w:rsid w:val="00FA13B7"/>
    <w:rsid w:val="00FA1F87"/>
    <w:rsid w:val="00FA2826"/>
    <w:rsid w:val="00FA347F"/>
    <w:rsid w:val="00FA450B"/>
    <w:rsid w:val="00FB0000"/>
    <w:rsid w:val="00FB04AE"/>
    <w:rsid w:val="00FB2D15"/>
    <w:rsid w:val="00FB35EC"/>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 w:val="00FF5479"/>
    <w:rsid w:val="00FF62F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1E1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oloring"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injection-molding-process"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material-innovations-supporting-safer-water-storage"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www.kraiburg-tpe.com/de/news"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pet-approved-safe-durable-chew-toys-tpe"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D8594-4D51-448C-B04B-469037FDB806}"/>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931</Words>
  <Characters>5309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20</cp:revision>
  <dcterms:created xsi:type="dcterms:W3CDTF">2026-07-02T00:06:00Z</dcterms:created>
  <dcterms:modified xsi:type="dcterms:W3CDTF">2026-07-31T03:21:00Z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